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238" w:line="1179" w:lineRule="exact"/>
        <w:textAlignment w:val="center"/>
        <w:rPr/>
      </w:pPr>
      <w:r>
        <w:drawing>
          <wp:inline distT="0" distB="0" distL="0" distR="0">
            <wp:extent cx="7554594" cy="748283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4594" cy="7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3774"/>
        <w:spacing w:before="185" w:line="190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8"/>
        </w:rPr>
        <w:t>中国二冶集团有限公</w:t>
      </w:r>
      <w:r>
        <w:rPr>
          <w:rFonts w:ascii="Microsoft YaHei" w:hAnsi="Microsoft YaHei" w:eastAsia="Microsoft YaHei" w:cs="Microsoft YaHei"/>
          <w:sz w:val="43"/>
          <w:szCs w:val="43"/>
          <w:spacing w:val="6"/>
        </w:rPr>
        <w:t>司</w:t>
      </w:r>
    </w:p>
    <w:p>
      <w:pPr>
        <w:ind w:left="3484"/>
        <w:spacing w:before="2" w:line="184" w:lineRule="auto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-8"/>
        </w:rPr>
        <w:t>2</w:t>
      </w:r>
      <w:r>
        <w:rPr>
          <w:rFonts w:ascii="Microsoft YaHei" w:hAnsi="Microsoft YaHei" w:eastAsia="Microsoft YaHei" w:cs="Microsoft YaHei"/>
          <w:sz w:val="43"/>
          <w:szCs w:val="43"/>
          <w:spacing w:val="-6"/>
        </w:rPr>
        <w:t>0</w:t>
      </w:r>
      <w:r>
        <w:rPr>
          <w:rFonts w:ascii="Microsoft YaHei" w:hAnsi="Microsoft YaHei" w:eastAsia="Microsoft YaHei" w:cs="Microsoft YaHei"/>
          <w:sz w:val="43"/>
          <w:szCs w:val="43"/>
          <w:spacing w:val="-4"/>
        </w:rPr>
        <w:t>24</w:t>
      </w:r>
      <w:r>
        <w:rPr>
          <w:rFonts w:ascii="Microsoft YaHei" w:hAnsi="Microsoft YaHei" w:eastAsia="Microsoft YaHei" w:cs="Microsoft YaHei"/>
          <w:sz w:val="43"/>
          <w:szCs w:val="43"/>
          <w:spacing w:val="-4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spacing w:val="-4"/>
        </w:rPr>
        <w:t>届秋季校园招聘简章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2458"/>
        <w:spacing w:before="101" w:line="513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  <w:position w:val="4"/>
        </w:rPr>
        <w:t>一</w:t>
      </w:r>
      <w:r>
        <w:rPr>
          <w:rFonts w:ascii="SimHei" w:hAnsi="SimHei" w:eastAsia="SimHei" w:cs="SimHei"/>
          <w:sz w:val="31"/>
          <w:szCs w:val="31"/>
          <w:spacing w:val="6"/>
          <w:position w:val="4"/>
        </w:rPr>
        <w:t>、企业简介</w:t>
      </w:r>
    </w:p>
    <w:p>
      <w:pPr>
        <w:ind w:left="1812" w:right="1791" w:firstLine="678"/>
        <w:spacing w:before="36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中国二冶集团有限公司，成立于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1956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年，现在是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2022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年世界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500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强排名第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58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位的中国五矿以及中国中冶旗</w:t>
      </w:r>
      <w:r>
        <w:rPr>
          <w:rFonts w:ascii="FangSong" w:hAnsi="FangSong" w:eastAsia="FangSong" w:cs="FangSong"/>
          <w:sz w:val="31"/>
          <w:szCs w:val="31"/>
          <w:spacing w:val="9"/>
        </w:rPr>
        <w:t>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的核心骨干成员企业，是集工程总承包、项目投融资、房</w:t>
      </w:r>
      <w:r>
        <w:rPr>
          <w:rFonts w:ascii="FangSong" w:hAnsi="FangSong" w:eastAsia="FangSong" w:cs="FangSong"/>
          <w:sz w:val="31"/>
          <w:szCs w:val="31"/>
          <w:spacing w:val="6"/>
        </w:rPr>
        <w:t>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产</w:t>
      </w:r>
      <w:r>
        <w:rPr>
          <w:rFonts w:ascii="FangSong" w:hAnsi="FangSong" w:eastAsia="FangSong" w:cs="FangSong"/>
          <w:sz w:val="31"/>
          <w:szCs w:val="31"/>
          <w:spacing w:val="9"/>
        </w:rPr>
        <w:t>开发、钢结构及装备制造为一体的大型综合企业集团。</w:t>
      </w:r>
    </w:p>
    <w:p>
      <w:pPr>
        <w:ind w:left="1812" w:right="1695" w:firstLine="639"/>
        <w:spacing w:before="12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</w:rPr>
        <w:t>公司具有建筑工程、公路工程、冶金工程、市政公用</w:t>
      </w:r>
      <w:r>
        <w:rPr>
          <w:rFonts w:ascii="FangSong" w:hAnsi="FangSong" w:eastAsia="FangSong" w:cs="FangSong"/>
          <w:sz w:val="31"/>
          <w:szCs w:val="31"/>
          <w:spacing w:val="4"/>
        </w:rPr>
        <w:t>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程施工</w:t>
      </w:r>
      <w:r>
        <w:rPr>
          <w:rFonts w:ascii="FangSong" w:hAnsi="FangSong" w:eastAsia="FangSong" w:cs="FangSong"/>
          <w:sz w:val="31"/>
          <w:szCs w:val="31"/>
          <w:spacing w:val="4"/>
        </w:rPr>
        <w:t>总承包特级资质，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以及对应的建筑行业、公路行业、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冶金行业、市政公用行业甲级设计资质，</w:t>
      </w:r>
      <w:r>
        <w:rPr>
          <w:rFonts w:ascii="FangSong" w:hAnsi="FangSong" w:eastAsia="FangSong" w:cs="FangSong"/>
          <w:sz w:val="31"/>
          <w:szCs w:val="31"/>
        </w:rPr>
        <w:t>是西北地区第一家、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中冶集团第二家、全国第十八家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“四特四甲”资质企业</w:t>
      </w:r>
      <w:r>
        <w:rPr>
          <w:rFonts w:ascii="FangSong" w:hAnsi="FangSong" w:eastAsia="FangSong" w:cs="FangSong"/>
          <w:sz w:val="31"/>
          <w:szCs w:val="31"/>
          <w:spacing w:val="1"/>
        </w:rPr>
        <w:t>。</w:t>
      </w:r>
      <w:r>
        <w:rPr>
          <w:rFonts w:ascii="FangSong" w:hAnsi="FangSong" w:eastAsia="FangSong" w:cs="FangSong"/>
          <w:sz w:val="31"/>
          <w:szCs w:val="31"/>
        </w:rPr>
        <w:t>公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司曾获得包括鲁班奖在内的国家、省部、地市级优质工程</w:t>
      </w:r>
      <w:r>
        <w:rPr>
          <w:rFonts w:ascii="FangSong" w:hAnsi="FangSong" w:eastAsia="FangSong" w:cs="FangSong"/>
          <w:sz w:val="31"/>
          <w:szCs w:val="31"/>
          <w:spacing w:val="6"/>
        </w:rPr>
        <w:t>奖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260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余项，拥有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1400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余项国家专利和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110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余项省部级及以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上工法、国家及行业技术标准，荣获“国</w:t>
      </w:r>
      <w:r>
        <w:rPr>
          <w:rFonts w:ascii="FangSong" w:hAnsi="FangSong" w:eastAsia="FangSong" w:cs="FangSong"/>
          <w:sz w:val="31"/>
          <w:szCs w:val="31"/>
        </w:rPr>
        <w:t>家高新技术企业”、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</w:rPr>
        <w:t>“</w:t>
      </w:r>
      <w:r>
        <w:rPr>
          <w:rFonts w:ascii="FangSong" w:hAnsi="FangSong" w:eastAsia="FangSong" w:cs="FangSong"/>
          <w:sz w:val="31"/>
          <w:szCs w:val="31"/>
          <w:spacing w:val="-8"/>
        </w:rPr>
        <w:t>全国优秀建筑企业”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、</w:t>
      </w:r>
      <w:r>
        <w:rPr>
          <w:rFonts w:ascii="FangSong" w:hAnsi="FangSong" w:eastAsia="FangSong" w:cs="FangSong"/>
          <w:sz w:val="31"/>
          <w:szCs w:val="31"/>
          <w:spacing w:val="-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8"/>
        </w:rPr>
        <w:t>“中国工程建设企业社会信用评价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AAA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级企业”</w:t>
      </w:r>
      <w:r>
        <w:rPr>
          <w:rFonts w:ascii="FangSong" w:hAnsi="FangSong" w:eastAsia="FangSong" w:cs="FangSong"/>
          <w:sz w:val="31"/>
          <w:szCs w:val="31"/>
          <w:spacing w:val="1"/>
        </w:rPr>
        <w:t>等荣誉称号。</w:t>
      </w:r>
    </w:p>
    <w:p>
      <w:pPr>
        <w:ind w:left="1820" w:right="1793" w:firstLine="631"/>
        <w:spacing w:before="4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4"/>
        </w:rPr>
        <w:t>公司总</w:t>
      </w:r>
      <w:r>
        <w:rPr>
          <w:rFonts w:ascii="FangSong" w:hAnsi="FangSong" w:eastAsia="FangSong" w:cs="FangSong"/>
          <w:sz w:val="31"/>
          <w:szCs w:val="31"/>
          <w:spacing w:val="2"/>
        </w:rPr>
        <w:t>部位于草原钢城—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内蒙古包头，同时在成都、西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安</w:t>
      </w:r>
      <w:r>
        <w:rPr>
          <w:rFonts w:ascii="FangSong" w:hAnsi="FangSong" w:eastAsia="FangSong" w:cs="FangSong"/>
          <w:sz w:val="31"/>
          <w:szCs w:val="31"/>
          <w:spacing w:val="15"/>
        </w:rPr>
        <w:t>、</w:t>
      </w:r>
      <w:r>
        <w:rPr>
          <w:rFonts w:ascii="FangSong" w:hAnsi="FangSong" w:eastAsia="FangSong" w:cs="FangSong"/>
          <w:sz w:val="31"/>
          <w:szCs w:val="31"/>
          <w:spacing w:val="8"/>
        </w:rPr>
        <w:t>南京、郑州、武汉、济南、长沙、厦门等主要城市设立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了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20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多家区域实体公司及平台公司，经营版图覆盖全国</w:t>
      </w:r>
      <w:r>
        <w:rPr>
          <w:rFonts w:ascii="FangSong" w:hAnsi="FangSong" w:eastAsia="FangSong" w:cs="FangSong"/>
          <w:sz w:val="31"/>
          <w:szCs w:val="31"/>
          <w:spacing w:val="7"/>
        </w:rPr>
        <w:t>及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海外</w:t>
      </w:r>
      <w:r>
        <w:rPr>
          <w:rFonts w:ascii="FangSong" w:hAnsi="FangSong" w:eastAsia="FangSong" w:cs="FangSong"/>
          <w:sz w:val="31"/>
          <w:szCs w:val="31"/>
        </w:rPr>
        <w:t>。</w:t>
      </w:r>
    </w:p>
    <w:p>
      <w:pPr>
        <w:ind w:left="2458"/>
        <w:spacing w:line="416" w:lineRule="exact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  <w:position w:val="2"/>
        </w:rPr>
        <w:t>二</w:t>
      </w:r>
      <w:r>
        <w:rPr>
          <w:rFonts w:ascii="SimHei" w:hAnsi="SimHei" w:eastAsia="SimHei" w:cs="SimHei"/>
          <w:sz w:val="31"/>
          <w:szCs w:val="31"/>
          <w:spacing w:val="6"/>
          <w:position w:val="2"/>
        </w:rPr>
        <w:t>、竞争优势</w:t>
      </w:r>
    </w:p>
    <w:p>
      <w:pPr>
        <w:ind w:left="1813" w:right="1790" w:firstLine="647"/>
        <w:spacing w:before="131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4"/>
        </w:rPr>
        <w:t>近</w:t>
      </w:r>
      <w:r>
        <w:rPr>
          <w:rFonts w:ascii="FangSong" w:hAnsi="FangSong" w:eastAsia="FangSong" w:cs="FangSong"/>
          <w:sz w:val="31"/>
          <w:szCs w:val="31"/>
          <w:spacing w:val="14"/>
        </w:rPr>
        <w:t>年来，公司业务类型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日趋多元，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市场版图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日益扩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展</w:t>
      </w:r>
      <w:r>
        <w:rPr>
          <w:rFonts w:ascii="FangSong" w:hAnsi="FangSong" w:eastAsia="FangSong" w:cs="FangSong"/>
          <w:sz w:val="31"/>
          <w:szCs w:val="31"/>
          <w:spacing w:val="13"/>
        </w:rPr>
        <w:t>,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“品质工程”亮点纷呈，企业品牌不断打响，员工幸福</w:t>
      </w:r>
    </w:p>
    <w:p>
      <w:pPr>
        <w:sectPr>
          <w:headerReference w:type="default" r:id="rId1"/>
          <w:pgSz w:w="11906" w:h="16839"/>
          <w:pgMar w:top="1" w:right="9" w:bottom="0" w:left="0" w:header="0" w:footer="0" w:gutter="0"/>
        </w:sectPr>
        <w:rPr/>
      </w:pPr>
    </w:p>
    <w:p>
      <w:pPr>
        <w:spacing w:line="1178" w:lineRule="exact"/>
        <w:textAlignment w:val="center"/>
        <w:rPr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1597025</wp:posOffset>
            </wp:positionH>
            <wp:positionV relativeFrom="page">
              <wp:posOffset>1310640</wp:posOffset>
            </wp:positionV>
            <wp:extent cx="324485" cy="102933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4485" cy="1029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7554594" cy="748283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4594" cy="7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23"/>
        <w:spacing w:before="186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感</w:t>
      </w:r>
      <w:r>
        <w:rPr>
          <w:rFonts w:ascii="FangSong" w:hAnsi="FangSong" w:eastAsia="FangSong" w:cs="FangSong"/>
          <w:sz w:val="31"/>
          <w:szCs w:val="31"/>
          <w:spacing w:val="9"/>
        </w:rPr>
        <w:t>不</w:t>
      </w:r>
      <w:r>
        <w:rPr>
          <w:rFonts w:ascii="FangSong" w:hAnsi="FangSong" w:eastAsia="FangSong" w:cs="FangSong"/>
          <w:sz w:val="31"/>
          <w:szCs w:val="31"/>
          <w:spacing w:val="7"/>
        </w:rPr>
        <w:t>断增强，改革发展成效卓著。</w:t>
      </w:r>
    </w:p>
    <w:p>
      <w:pPr>
        <w:ind w:left="3094"/>
        <w:spacing w:before="173" w:line="547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9"/>
          <w:position w:val="17"/>
        </w:rPr>
        <w:t>入职拥有央企平台，导师助力快速成长</w:t>
      </w:r>
    </w:p>
    <w:p>
      <w:pPr>
        <w:ind w:left="3101"/>
        <w:spacing w:before="1" w:line="21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6"/>
        </w:rPr>
        <w:t>薪</w:t>
      </w:r>
      <w:r>
        <w:rPr>
          <w:rFonts w:ascii="FangSong" w:hAnsi="FangSong" w:eastAsia="FangSong" w:cs="FangSong"/>
          <w:sz w:val="31"/>
          <w:szCs w:val="31"/>
          <w:spacing w:val="9"/>
        </w:rPr>
        <w:t>酬</w:t>
      </w:r>
      <w:r>
        <w:rPr>
          <w:rFonts w:ascii="FangSong" w:hAnsi="FangSong" w:eastAsia="FangSong" w:cs="FangSong"/>
          <w:sz w:val="31"/>
          <w:szCs w:val="31"/>
          <w:spacing w:val="8"/>
        </w:rPr>
        <w:t>福利行业一流，晋升渠道机制畅通</w:t>
      </w:r>
    </w:p>
    <w:p>
      <w:pPr>
        <w:ind w:left="3135"/>
        <w:spacing w:before="176"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2"/>
        </w:rPr>
        <w:t>区</w:t>
      </w:r>
      <w:r>
        <w:rPr>
          <w:rFonts w:ascii="FangSong" w:hAnsi="FangSong" w:eastAsia="FangSong" w:cs="FangSong"/>
          <w:sz w:val="31"/>
          <w:szCs w:val="31"/>
          <w:spacing w:val="9"/>
        </w:rPr>
        <w:t>域</w:t>
      </w:r>
      <w:r>
        <w:rPr>
          <w:rFonts w:ascii="FangSong" w:hAnsi="FangSong" w:eastAsia="FangSong" w:cs="FangSong"/>
          <w:sz w:val="31"/>
          <w:szCs w:val="31"/>
          <w:spacing w:val="6"/>
        </w:rPr>
        <w:t>属地经营管理，随心所欲就近工作</w:t>
      </w:r>
    </w:p>
    <w:p>
      <w:pPr>
        <w:ind w:left="2459"/>
        <w:spacing w:before="171" w:line="24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</w:t>
      </w:r>
      <w:r>
        <w:rPr>
          <w:rFonts w:ascii="SimHei" w:hAnsi="SimHei" w:eastAsia="SimHei" w:cs="SimHei"/>
          <w:sz w:val="31"/>
          <w:szCs w:val="31"/>
          <w:spacing w:val="6"/>
        </w:rPr>
        <w:t>、招聘要求</w:t>
      </w:r>
    </w:p>
    <w:p>
      <w:pPr>
        <w:ind w:left="1812" w:right="1793" w:firstLine="660"/>
        <w:spacing w:before="142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1.2024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届本科及以上毕业生，硕士、博士毕业生优先录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用；</w:t>
      </w:r>
    </w:p>
    <w:p>
      <w:pPr>
        <w:ind w:left="1820" w:right="1855" w:firstLine="645"/>
        <w:spacing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2.</w:t>
      </w:r>
      <w:r>
        <w:rPr>
          <w:rFonts w:ascii="FangSong" w:hAnsi="FangSong" w:eastAsia="FangSong" w:cs="FangSong"/>
          <w:sz w:val="31"/>
          <w:szCs w:val="31"/>
          <w:spacing w:val="5"/>
        </w:rPr>
        <w:t>所学专业应与需求专业相符，身体健康，吃苦耐劳，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有良</w:t>
      </w:r>
      <w:r>
        <w:rPr>
          <w:rFonts w:ascii="FangSong" w:hAnsi="FangSong" w:eastAsia="FangSong" w:cs="FangSong"/>
          <w:sz w:val="31"/>
          <w:szCs w:val="31"/>
          <w:spacing w:val="8"/>
        </w:rPr>
        <w:t>好的的沟通能力，可以适应施工企业的工作环境；</w:t>
      </w:r>
    </w:p>
    <w:p>
      <w:pPr>
        <w:ind w:left="1849" w:right="1548" w:firstLine="628"/>
        <w:spacing w:before="3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3.在校</w:t>
      </w:r>
      <w:r>
        <w:rPr>
          <w:rFonts w:ascii="FangSong" w:hAnsi="FangSong" w:eastAsia="FangSong" w:cs="FangSong"/>
          <w:sz w:val="31"/>
          <w:szCs w:val="31"/>
          <w:spacing w:val="4"/>
        </w:rPr>
        <w:t>期间学习成绩良好，具备一定的计算机操作水平，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中</w:t>
      </w:r>
      <w:r>
        <w:rPr>
          <w:rFonts w:ascii="FangSong" w:hAnsi="FangSong" w:eastAsia="FangSong" w:cs="FangSong"/>
          <w:sz w:val="31"/>
          <w:szCs w:val="31"/>
          <w:spacing w:val="7"/>
        </w:rPr>
        <w:t>共党员、优秀学生干部同等条件下优先录用。</w:t>
      </w:r>
    </w:p>
    <w:p>
      <w:pPr>
        <w:ind w:left="2472"/>
        <w:spacing w:line="23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四</w:t>
      </w:r>
      <w:r>
        <w:rPr>
          <w:rFonts w:ascii="SimHei" w:hAnsi="SimHei" w:eastAsia="SimHei" w:cs="SimHei"/>
          <w:sz w:val="31"/>
          <w:szCs w:val="31"/>
          <w:spacing w:val="4"/>
        </w:rPr>
        <w:t>、专业需求</w:t>
      </w:r>
    </w:p>
    <w:p>
      <w:pPr>
        <w:ind w:left="1820" w:right="1695" w:firstLine="653"/>
        <w:spacing w:before="159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1.</w:t>
      </w:r>
      <w:r>
        <w:rPr>
          <w:rFonts w:ascii="FangSong" w:hAnsi="FangSong" w:eastAsia="FangSong" w:cs="FangSong"/>
          <w:sz w:val="31"/>
          <w:szCs w:val="31"/>
          <w:spacing w:val="8"/>
        </w:rPr>
        <w:t>工</w:t>
      </w:r>
      <w:r>
        <w:rPr>
          <w:rFonts w:ascii="FangSong" w:hAnsi="FangSong" w:eastAsia="FangSong" w:cs="FangSong"/>
          <w:sz w:val="31"/>
          <w:szCs w:val="31"/>
          <w:spacing w:val="7"/>
        </w:rPr>
        <w:t>程技术类：土木工程、工程力学、测绘工程、市政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工程、道路桥梁与渡河工</w:t>
      </w:r>
      <w:r>
        <w:rPr>
          <w:rFonts w:ascii="FangSong" w:hAnsi="FangSong" w:eastAsia="FangSong" w:cs="FangSong"/>
          <w:sz w:val="31"/>
          <w:szCs w:val="31"/>
        </w:rPr>
        <w:t>程、交通工程、城市地下空间工程、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结构</w:t>
      </w:r>
      <w:r>
        <w:rPr>
          <w:rFonts w:ascii="FangSong" w:hAnsi="FangSong" w:eastAsia="FangSong" w:cs="FangSong"/>
          <w:sz w:val="31"/>
          <w:szCs w:val="31"/>
          <w:spacing w:val="12"/>
        </w:rPr>
        <w:t>工</w:t>
      </w:r>
      <w:r>
        <w:rPr>
          <w:rFonts w:ascii="FangSong" w:hAnsi="FangSong" w:eastAsia="FangSong" w:cs="FangSong"/>
          <w:sz w:val="31"/>
          <w:szCs w:val="31"/>
          <w:spacing w:val="8"/>
        </w:rPr>
        <w:t>程、水利水电工程、给排水科学与工程等相关专业；</w:t>
      </w:r>
    </w:p>
    <w:p>
      <w:pPr>
        <w:ind w:left="2465"/>
        <w:spacing w:before="1" w:line="24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2.商务经营类：工程造价、工程管理等相关专业</w:t>
      </w:r>
      <w:r>
        <w:rPr>
          <w:rFonts w:ascii="FangSong" w:hAnsi="FangSong" w:eastAsia="FangSong" w:cs="FangSong"/>
          <w:sz w:val="31"/>
          <w:szCs w:val="31"/>
          <w:spacing w:val="6"/>
        </w:rPr>
        <w:t>；</w:t>
      </w:r>
    </w:p>
    <w:p>
      <w:pPr>
        <w:ind w:left="1822" w:right="1793" w:firstLine="655"/>
        <w:spacing w:before="140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3</w:t>
      </w:r>
      <w:r>
        <w:rPr>
          <w:rFonts w:ascii="FangSong" w:hAnsi="FangSong" w:eastAsia="FangSong" w:cs="FangSong"/>
          <w:sz w:val="31"/>
          <w:szCs w:val="31"/>
          <w:spacing w:val="10"/>
        </w:rPr>
        <w:t>.</w:t>
      </w:r>
      <w:r>
        <w:rPr>
          <w:rFonts w:ascii="FangSong" w:hAnsi="FangSong" w:eastAsia="FangSong" w:cs="FangSong"/>
          <w:sz w:val="31"/>
          <w:szCs w:val="31"/>
          <w:spacing w:val="7"/>
        </w:rPr>
        <w:t>物资安全类：物流工程、安全工程、消防工程等相关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专业</w:t>
      </w:r>
      <w:r>
        <w:rPr>
          <w:rFonts w:ascii="FangSong" w:hAnsi="FangSong" w:eastAsia="FangSong" w:cs="FangSong"/>
          <w:sz w:val="31"/>
          <w:szCs w:val="31"/>
          <w:spacing w:val="-1"/>
        </w:rPr>
        <w:t>；</w:t>
      </w:r>
    </w:p>
    <w:p>
      <w:pPr>
        <w:ind w:left="1812" w:right="1793" w:firstLine="651"/>
        <w:spacing w:before="1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4.电气机械类：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电气工程及自动化、</w:t>
      </w:r>
      <w:r>
        <w:rPr>
          <w:rFonts w:ascii="FangSong" w:hAnsi="FangSong" w:eastAsia="FangSong" w:cs="FangSong"/>
          <w:sz w:val="31"/>
          <w:szCs w:val="31"/>
          <w:spacing w:val="1"/>
        </w:rPr>
        <w:t>建筑环境与能源应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用工程、建筑电气与智能化、机械工程等相关专业</w:t>
      </w:r>
      <w:r>
        <w:rPr>
          <w:rFonts w:ascii="FangSong" w:hAnsi="FangSong" w:eastAsia="FangSong" w:cs="FangSong"/>
          <w:sz w:val="31"/>
          <w:szCs w:val="31"/>
          <w:spacing w:val="8"/>
        </w:rPr>
        <w:t>；</w:t>
      </w:r>
    </w:p>
    <w:p>
      <w:pPr>
        <w:ind w:left="2469"/>
        <w:spacing w:line="24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5.财务投资类：财</w:t>
      </w:r>
      <w:r>
        <w:rPr>
          <w:rFonts w:ascii="FangSong" w:hAnsi="FangSong" w:eastAsia="FangSong" w:cs="FangSong"/>
          <w:sz w:val="31"/>
          <w:szCs w:val="31"/>
          <w:spacing w:val="1"/>
        </w:rPr>
        <w:t>务管理、会计学、审计学等相关专业；</w:t>
      </w:r>
    </w:p>
    <w:p>
      <w:pPr>
        <w:ind w:left="1849" w:right="1793" w:firstLine="618"/>
        <w:spacing w:before="139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6.综合管理类：文秘、政治学、汉语言文学、法学、</w:t>
      </w:r>
      <w:r>
        <w:rPr>
          <w:rFonts w:ascii="FangSong" w:hAnsi="FangSong" w:eastAsia="FangSong" w:cs="FangSong"/>
          <w:sz w:val="31"/>
          <w:szCs w:val="31"/>
          <w:spacing w:val="3"/>
        </w:rPr>
        <w:t>新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闻</w:t>
      </w:r>
      <w:r>
        <w:rPr>
          <w:rFonts w:ascii="FangSong" w:hAnsi="FangSong" w:eastAsia="FangSong" w:cs="FangSong"/>
          <w:sz w:val="31"/>
          <w:szCs w:val="31"/>
          <w:spacing w:val="12"/>
        </w:rPr>
        <w:t>学</w:t>
      </w:r>
      <w:r>
        <w:rPr>
          <w:rFonts w:ascii="FangSong" w:hAnsi="FangSong" w:eastAsia="FangSong" w:cs="FangSong"/>
          <w:sz w:val="31"/>
          <w:szCs w:val="31"/>
          <w:spacing w:val="7"/>
        </w:rPr>
        <w:t>、人力资源管理、劳动关系、行政管理等相关专业。</w:t>
      </w:r>
    </w:p>
    <w:p>
      <w:pPr>
        <w:ind w:left="2461"/>
        <w:spacing w:before="2" w:line="239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五、薪酬福利</w:t>
      </w:r>
    </w:p>
    <w:p>
      <w:pPr>
        <w:ind w:left="2473"/>
        <w:spacing w:before="145" w:line="408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  <w:position w:val="2"/>
        </w:rPr>
        <w:t>1.</w:t>
      </w:r>
      <w:r>
        <w:rPr>
          <w:rFonts w:ascii="FangSong" w:hAnsi="FangSong" w:eastAsia="FangSong" w:cs="FangSong"/>
          <w:sz w:val="31"/>
          <w:szCs w:val="31"/>
          <w:spacing w:val="8"/>
          <w:position w:val="2"/>
        </w:rPr>
        <w:t>公</w:t>
      </w:r>
      <w:r>
        <w:rPr>
          <w:rFonts w:ascii="FangSong" w:hAnsi="FangSong" w:eastAsia="FangSong" w:cs="FangSong"/>
          <w:sz w:val="31"/>
          <w:szCs w:val="31"/>
          <w:spacing w:val="7"/>
          <w:position w:val="2"/>
        </w:rPr>
        <w:t>司提供具有行业竞争力的薪酬福利待遇，本科、研</w:t>
      </w:r>
    </w:p>
    <w:p>
      <w:pPr>
        <w:sectPr>
          <w:pgSz w:w="11906" w:h="16839"/>
          <w:pgMar w:top="240" w:right="9" w:bottom="0" w:left="0" w:header="0" w:footer="0" w:gutter="0"/>
        </w:sectPr>
        <w:rPr/>
      </w:pPr>
    </w:p>
    <w:p>
      <w:pPr>
        <w:spacing w:line="1178" w:lineRule="exact"/>
        <w:textAlignment w:val="center"/>
        <w:rPr/>
      </w:pPr>
      <w:r>
        <w:drawing>
          <wp:inline distT="0" distB="0" distL="0" distR="0">
            <wp:extent cx="7554594" cy="74828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4594" cy="7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812" w:right="1790" w:firstLine="20"/>
        <w:spacing w:before="186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1"/>
        </w:rPr>
        <w:t>究</w:t>
      </w:r>
      <w:r>
        <w:rPr>
          <w:rFonts w:ascii="FangSong" w:hAnsi="FangSong" w:eastAsia="FangSong" w:cs="FangSong"/>
          <w:sz w:val="31"/>
          <w:szCs w:val="31"/>
          <w:spacing w:val="8"/>
        </w:rPr>
        <w:t>生学历工资标准按公司薪酬办法执行，博士研究生工资面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议</w:t>
      </w:r>
      <w:r>
        <w:rPr>
          <w:rFonts w:ascii="FangSong" w:hAnsi="FangSong" w:eastAsia="FangSong" w:cs="FangSong"/>
          <w:sz w:val="31"/>
          <w:szCs w:val="31"/>
          <w:spacing w:val="8"/>
        </w:rPr>
        <w:t>。应届毕业生见习期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3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到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6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个月，转正定级后纳入公司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薪</w:t>
      </w:r>
      <w:r>
        <w:rPr>
          <w:rFonts w:ascii="FangSong" w:hAnsi="FangSong" w:eastAsia="FangSong" w:cs="FangSong"/>
          <w:sz w:val="31"/>
          <w:szCs w:val="31"/>
          <w:spacing w:val="7"/>
        </w:rPr>
        <w:t>酬管理体系;</w:t>
      </w:r>
    </w:p>
    <w:p>
      <w:pPr>
        <w:ind w:left="1814" w:right="1793" w:firstLine="650"/>
        <w:spacing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2.五险二金，按制度享受绩效奖金、项目预兑现，项</w:t>
      </w:r>
      <w:r>
        <w:rPr>
          <w:rFonts w:ascii="FangSong" w:hAnsi="FangSong" w:eastAsia="FangSong" w:cs="FangSong"/>
          <w:sz w:val="31"/>
          <w:szCs w:val="31"/>
          <w:spacing w:val="6"/>
        </w:rPr>
        <w:t>目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分红、交通补贴、</w:t>
      </w:r>
      <w:r>
        <w:rPr>
          <w:rFonts w:ascii="FangSong" w:hAnsi="FangSong" w:eastAsia="FangSong" w:cs="FangSong"/>
          <w:sz w:val="31"/>
          <w:szCs w:val="31"/>
          <w:spacing w:val="3"/>
        </w:rPr>
        <w:t>通</w:t>
      </w:r>
      <w:r>
        <w:rPr>
          <w:rFonts w:ascii="FangSong" w:hAnsi="FangSong" w:eastAsia="FangSong" w:cs="FangSong"/>
          <w:sz w:val="31"/>
          <w:szCs w:val="31"/>
          <w:spacing w:val="2"/>
        </w:rPr>
        <w:t>讯补贴、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电脑补贴等各类津贴补贴；</w:t>
      </w:r>
    </w:p>
    <w:p>
      <w:pPr>
        <w:ind w:left="1872" w:right="1793" w:firstLine="605"/>
        <w:spacing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4"/>
        </w:rPr>
        <w:t>3</w:t>
      </w:r>
      <w:r>
        <w:rPr>
          <w:rFonts w:ascii="FangSong" w:hAnsi="FangSong" w:eastAsia="FangSong" w:cs="FangSong"/>
          <w:sz w:val="31"/>
          <w:szCs w:val="31"/>
          <w:spacing w:val="10"/>
        </w:rPr>
        <w:t>.</w:t>
      </w:r>
      <w:r>
        <w:rPr>
          <w:rFonts w:ascii="FangSong" w:hAnsi="FangSong" w:eastAsia="FangSong" w:cs="FangSong"/>
          <w:sz w:val="31"/>
          <w:szCs w:val="31"/>
          <w:spacing w:val="7"/>
        </w:rPr>
        <w:t>提供免费食宿和定期体检，按国家规定享受法定节假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日待</w:t>
      </w:r>
      <w:r>
        <w:rPr>
          <w:rFonts w:ascii="FangSong" w:hAnsi="FangSong" w:eastAsia="FangSong" w:cs="FangSong"/>
          <w:sz w:val="31"/>
          <w:szCs w:val="31"/>
          <w:spacing w:val="11"/>
        </w:rPr>
        <w:t>遇</w:t>
      </w:r>
      <w:r>
        <w:rPr>
          <w:rFonts w:ascii="FangSong" w:hAnsi="FangSong" w:eastAsia="FangSong" w:cs="FangSong"/>
          <w:sz w:val="31"/>
          <w:szCs w:val="31"/>
          <w:spacing w:val="6"/>
        </w:rPr>
        <w:t>，享有年休假、探亲假、项目季度假等各类假期。</w:t>
      </w:r>
    </w:p>
    <w:p>
      <w:pPr>
        <w:ind w:left="2485"/>
        <w:spacing w:line="2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同</w:t>
      </w:r>
      <w:r>
        <w:rPr>
          <w:rFonts w:ascii="FangSong" w:hAnsi="FangSong" w:eastAsia="FangSong" w:cs="FangSong"/>
          <w:sz w:val="31"/>
          <w:szCs w:val="31"/>
          <w:spacing w:val="7"/>
        </w:rPr>
        <w:t>时，公司可配合申领包头市相关人才补贴：</w:t>
      </w:r>
    </w:p>
    <w:p>
      <w:pPr>
        <w:ind w:left="1809" w:right="1695" w:firstLine="673"/>
        <w:spacing w:before="172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引进且签订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5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年及以上劳动合同,工作满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年并</w:t>
      </w:r>
      <w:r>
        <w:rPr>
          <w:rFonts w:ascii="FangSong" w:hAnsi="FangSong" w:eastAsia="FangSong" w:cs="FangSong"/>
          <w:sz w:val="31"/>
          <w:szCs w:val="31"/>
        </w:rPr>
        <w:t>缴纳社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会保险满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6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个月的博士研究生和硕士研究生，凡符合青年</w:t>
      </w:r>
      <w:r>
        <w:rPr>
          <w:rFonts w:ascii="FangSong" w:hAnsi="FangSong" w:eastAsia="FangSong" w:cs="FangSong"/>
          <w:sz w:val="31"/>
          <w:szCs w:val="31"/>
        </w:rPr>
        <w:t>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才奖励条</w:t>
      </w:r>
      <w:r>
        <w:rPr>
          <w:rFonts w:ascii="FangSong" w:hAnsi="FangSong" w:eastAsia="FangSong" w:cs="FangSong"/>
          <w:sz w:val="31"/>
          <w:szCs w:val="31"/>
          <w:spacing w:val="-6"/>
        </w:rPr>
        <w:t>件</w:t>
      </w:r>
      <w:r>
        <w:rPr>
          <w:rFonts w:ascii="FangSong" w:hAnsi="FangSong" w:eastAsia="FangSong" w:cs="FangSong"/>
          <w:sz w:val="31"/>
          <w:szCs w:val="31"/>
          <w:spacing w:val="-4"/>
        </w:rPr>
        <w:t>且通过人社部门审核的，按照博士研究生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3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万元、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硕士研究生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1.5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万元</w:t>
      </w:r>
      <w:r>
        <w:rPr>
          <w:rFonts w:ascii="FangSong" w:hAnsi="FangSong" w:eastAsia="FangSong" w:cs="FangSong"/>
          <w:sz w:val="31"/>
          <w:szCs w:val="31"/>
        </w:rPr>
        <w:t>给予一次性人才奖励。</w:t>
      </w:r>
    </w:p>
    <w:p>
      <w:pPr>
        <w:ind w:left="2463"/>
        <w:spacing w:before="1" w:line="232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六、招聘流</w:t>
      </w:r>
      <w:r>
        <w:rPr>
          <w:rFonts w:ascii="SimHei" w:hAnsi="SimHei" w:eastAsia="SimHei" w:cs="SimHei"/>
          <w:sz w:val="31"/>
          <w:szCs w:val="31"/>
          <w:spacing w:val="5"/>
        </w:rPr>
        <w:t>程</w:t>
      </w:r>
    </w:p>
    <w:p>
      <w:pPr>
        <w:ind w:left="1812" w:right="1793" w:firstLine="660"/>
        <w:spacing w:before="156" w:line="3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1.对在高校双选会</w:t>
      </w:r>
      <w:r>
        <w:rPr>
          <w:rFonts w:ascii="FangSong" w:hAnsi="FangSong" w:eastAsia="FangSong" w:cs="FangSong"/>
          <w:sz w:val="31"/>
          <w:szCs w:val="31"/>
          <w:spacing w:val="1"/>
        </w:rPr>
        <w:t>、宣讲会的应聘者，采取简历投递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→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1"/>
        </w:rPr>
        <w:t>初</w:t>
      </w:r>
      <w:r>
        <w:rPr>
          <w:rFonts w:ascii="FangSong" w:hAnsi="FangSong" w:eastAsia="FangSong" w:cs="FangSong"/>
          <w:sz w:val="31"/>
          <w:szCs w:val="31"/>
          <w:spacing w:val="-13"/>
        </w:rPr>
        <w:t>选</w:t>
      </w:r>
      <w:r>
        <w:rPr>
          <w:rFonts w:ascii="FangSong" w:hAnsi="FangSong" w:eastAsia="FangSong" w:cs="FangSong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→面试</w:t>
      </w:r>
      <w:r>
        <w:rPr>
          <w:rFonts w:ascii="FangSong" w:hAnsi="FangSong" w:eastAsia="FangSong" w:cs="FangSong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3"/>
        </w:rPr>
        <w:t>→签订三方协议；</w:t>
      </w:r>
    </w:p>
    <w:p>
      <w:pPr>
        <w:ind w:left="1857" w:right="1793" w:firstLine="608"/>
        <w:spacing w:before="2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2</w:t>
      </w:r>
      <w:r>
        <w:rPr>
          <w:rFonts w:ascii="FangSong" w:hAnsi="FangSong" w:eastAsia="FangSong" w:cs="FangSong"/>
          <w:sz w:val="31"/>
          <w:szCs w:val="31"/>
          <w:spacing w:val="-4"/>
        </w:rPr>
        <w:t>.对网上报名应聘者，采取线上简历投递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→初选</w:t>
      </w:r>
      <w:r>
        <w:rPr>
          <w:rFonts w:ascii="FangSong" w:hAnsi="FangSong" w:eastAsia="FangSong" w:cs="FangSong"/>
          <w:sz w:val="31"/>
          <w:szCs w:val="31"/>
          <w:spacing w:val="-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→面试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→签订</w:t>
      </w:r>
      <w:r>
        <w:rPr>
          <w:rFonts w:ascii="FangSong" w:hAnsi="FangSong" w:eastAsia="FangSong" w:cs="FangSong"/>
          <w:sz w:val="31"/>
          <w:szCs w:val="31"/>
          <w:spacing w:val="1"/>
        </w:rPr>
        <w:t>三方协议。</w:t>
      </w:r>
    </w:p>
    <w:p>
      <w:pPr>
        <w:ind w:left="2451"/>
        <w:spacing w:before="2" w:line="235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1"/>
        </w:rPr>
        <w:t>七</w:t>
      </w:r>
      <w:r>
        <w:rPr>
          <w:rFonts w:ascii="SimHei" w:hAnsi="SimHei" w:eastAsia="SimHei" w:cs="SimHei"/>
          <w:sz w:val="31"/>
          <w:szCs w:val="31"/>
          <w:spacing w:val="7"/>
        </w:rPr>
        <w:t>、联系方式</w:t>
      </w:r>
    </w:p>
    <w:p>
      <w:pPr>
        <w:ind w:left="2451"/>
        <w:spacing w:before="147" w:line="2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公司地址：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内蒙古包头市稀土高新区黄河大街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2"/>
        </w:rPr>
        <w:t>83</w:t>
      </w:r>
      <w:r>
        <w:rPr>
          <w:rFonts w:ascii="FangSong" w:hAnsi="FangSong" w:eastAsia="FangSong" w:cs="FangSong"/>
          <w:sz w:val="31"/>
          <w:szCs w:val="31"/>
          <w:spacing w:val="-2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甲</w:t>
      </w:r>
    </w:p>
    <w:p>
      <w:pPr>
        <w:ind w:left="2451"/>
        <w:spacing w:before="10" w:line="35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7"/>
        </w:rPr>
        <w:t>公</w:t>
      </w:r>
      <w:r>
        <w:rPr>
          <w:rFonts w:ascii="FangSong" w:hAnsi="FangSong" w:eastAsia="FangSong" w:cs="FangSong"/>
          <w:sz w:val="31"/>
          <w:szCs w:val="31"/>
          <w:spacing w:val="12"/>
        </w:rPr>
        <w:t>司网址：</w:t>
      </w:r>
      <w:hyperlink w:history="true" r:id="rId6"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</w:rPr>
          <w:t>http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  <w:spacing w:val="12"/>
          </w:rPr>
          <w:t>://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</w:rPr>
          <w:t>www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  <w:spacing w:val="12"/>
          </w:rPr>
          <w:t>.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</w:rPr>
          <w:t>csmcc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  <w:spacing w:val="12"/>
          </w:rPr>
          <w:t>.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</w:rPr>
          <w:t>cn</w:t>
        </w:r>
        <w:r>
          <w:rPr>
            <w:rFonts w:ascii="FangSong" w:hAnsi="FangSong" w:eastAsia="FangSong" w:cs="FangSong"/>
            <w:sz w:val="31"/>
            <w:szCs w:val="31"/>
            <w:u w:val="single" w:color="auto"/>
            <w:color w:val="0000FF"/>
            <w:spacing w:val="12"/>
          </w:rPr>
          <w:t>/</w:t>
        </w:r>
      </w:hyperlink>
    </w:p>
    <w:p>
      <w:pPr>
        <w:ind w:left="2453"/>
        <w:spacing w:before="120" w:line="22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5"/>
        </w:rPr>
        <w:t>联</w:t>
      </w:r>
      <w:r>
        <w:rPr>
          <w:rFonts w:ascii="FangSong" w:hAnsi="FangSong" w:eastAsia="FangSong" w:cs="FangSong"/>
          <w:sz w:val="31"/>
          <w:szCs w:val="31"/>
          <w:spacing w:val="8"/>
        </w:rPr>
        <w:t>系人：杨老师、刘老师</w:t>
      </w:r>
    </w:p>
    <w:p>
      <w:pPr>
        <w:ind w:left="2453" w:right="1935"/>
        <w:spacing w:before="167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联系电</w:t>
      </w:r>
      <w:r>
        <w:rPr>
          <w:rFonts w:ascii="FangSong" w:hAnsi="FangSong" w:eastAsia="FangSong" w:cs="FangSong"/>
          <w:sz w:val="31"/>
          <w:szCs w:val="31"/>
          <w:spacing w:val="7"/>
        </w:rPr>
        <w:t>话</w:t>
      </w:r>
      <w:r>
        <w:rPr>
          <w:rFonts w:ascii="FangSong" w:hAnsi="FangSong" w:eastAsia="FangSong" w:cs="FangSong"/>
          <w:sz w:val="31"/>
          <w:szCs w:val="31"/>
          <w:spacing w:val="5"/>
        </w:rPr>
        <w:t>：0472-2123379/15540227517、15661619917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联</w:t>
      </w:r>
      <w:r>
        <w:rPr>
          <w:rFonts w:ascii="FangSong" w:hAnsi="FangSong" w:eastAsia="FangSong" w:cs="FangSong"/>
          <w:sz w:val="31"/>
          <w:szCs w:val="31"/>
          <w:spacing w:val="9"/>
        </w:rPr>
        <w:t>系邮箱：</w:t>
      </w:r>
      <w:r>
        <w:rPr>
          <w:rFonts w:ascii="FangSong" w:hAnsi="FangSong" w:eastAsia="FangSong" w:cs="FangSong"/>
          <w:sz w:val="31"/>
          <w:szCs w:val="31"/>
        </w:rPr>
        <w:t>mcc</w:t>
      </w:r>
      <w:r>
        <w:rPr>
          <w:rFonts w:ascii="FangSong" w:hAnsi="FangSong" w:eastAsia="FangSong" w:cs="FangSong"/>
          <w:sz w:val="31"/>
          <w:szCs w:val="31"/>
          <w:spacing w:val="9"/>
        </w:rPr>
        <w:t>2</w:t>
      </w:r>
      <w:r>
        <w:rPr>
          <w:rFonts w:ascii="FangSong" w:hAnsi="FangSong" w:eastAsia="FangSong" w:cs="FangSong"/>
          <w:sz w:val="31"/>
          <w:szCs w:val="31"/>
        </w:rPr>
        <w:t>hr</w:t>
      </w:r>
      <w:r>
        <w:rPr>
          <w:rFonts w:ascii="FangSong" w:hAnsi="FangSong" w:eastAsia="FangSong" w:cs="FangSong"/>
          <w:sz w:val="31"/>
          <w:szCs w:val="31"/>
          <w:spacing w:val="9"/>
        </w:rPr>
        <w:t>@163.</w:t>
      </w:r>
      <w:r>
        <w:rPr>
          <w:rFonts w:ascii="FangSong" w:hAnsi="FangSong" w:eastAsia="FangSong" w:cs="FangSong"/>
          <w:sz w:val="31"/>
          <w:szCs w:val="31"/>
        </w:rPr>
        <w:t>com</w:t>
      </w:r>
    </w:p>
    <w:tbl>
      <w:tblPr>
        <w:tblStyle w:val="2"/>
        <w:tblW w:w="1593" w:type="dxa"/>
        <w:tblInd w:w="5095" w:type="dxa"/>
        <w:tblLayout w:type="fixed"/>
        <w:tblBorders>
          <w:left w:val="single" w:color="C00000" w:sz="8" w:space="0"/>
          <w:bottom w:val="single" w:color="C00000" w:sz="8" w:space="0"/>
          <w:right w:val="single" w:color="C00000" w:sz="8" w:space="0"/>
          <w:top w:val="single" w:color="C00000" w:sz="8" w:space="0"/>
        </w:tblBorders>
      </w:tblPr>
      <w:tblGrid>
        <w:gridCol w:w="1593"/>
      </w:tblGrid>
      <w:tr>
        <w:trPr>
          <w:trHeight w:val="1593" w:hRule="atLeast"/>
        </w:trPr>
        <w:tc>
          <w:tcPr>
            <w:tcW w:w="1593" w:type="dxa"/>
            <w:vAlign w:val="top"/>
          </w:tcPr>
          <w:p>
            <w:pPr>
              <w:spacing w:line="1593" w:lineRule="exact"/>
              <w:textAlignment w:val="center"/>
              <w:rPr/>
            </w:pPr>
            <w:r>
              <w:drawing>
                <wp:inline distT="0" distB="0" distL="0" distR="0">
                  <wp:extent cx="998854" cy="1011555"/>
                  <wp:effectExtent l="0" t="0" r="0" b="0"/>
                  <wp:docPr id="5" name="IM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" name="IM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98854" cy="101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240" w:right="9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image" Target="media/image5.jpeg"/><Relationship Id="rId6" Type="http://schemas.openxmlformats.org/officeDocument/2006/relationships/hyperlink" Target="http://www.csmcc.cn/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0" Type="http://schemas.openxmlformats.org/officeDocument/2006/relationships/fontTable" Target="fontTable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dcterms:created xsi:type="dcterms:W3CDTF">2023-08-02T16:20:53Z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2023-08-22T13:58:01</vt:filetime>
  </op:property>
</op:Properties>
</file>